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F3009" w14:textId="2C81C9D9" w:rsidR="00D13DE3" w:rsidRPr="00FF5491" w:rsidRDefault="00D13DE3" w:rsidP="006D5D11">
      <w:pPr>
        <w:pStyle w:val="N03Y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F5491">
        <w:rPr>
          <w:rFonts w:ascii="Arial" w:hAnsi="Arial" w:cs="Arial"/>
          <w:b w:val="0"/>
          <w:bCs w:val="0"/>
          <w:sz w:val="24"/>
          <w:szCs w:val="24"/>
        </w:rPr>
        <w:t xml:space="preserve">Na osnovu člana 35 Statuta opštine Tivat ("Sl. list CG - opštinski propisi" br. 24/18 i 09/20) </w:t>
      </w:r>
      <w:r w:rsidR="00FF5491" w:rsidRPr="00FF5491">
        <w:rPr>
          <w:rFonts w:ascii="Arial" w:hAnsi="Arial" w:cs="Arial"/>
          <w:b w:val="0"/>
          <w:bCs w:val="0"/>
          <w:sz w:val="24"/>
          <w:szCs w:val="24"/>
        </w:rPr>
        <w:t xml:space="preserve">i člana </w:t>
      </w:r>
      <w:r w:rsidR="003346A8">
        <w:rPr>
          <w:rFonts w:ascii="Arial" w:hAnsi="Arial" w:cs="Arial"/>
          <w:b w:val="0"/>
          <w:bCs w:val="0"/>
          <w:sz w:val="24"/>
          <w:szCs w:val="24"/>
        </w:rPr>
        <w:t>33</w:t>
      </w:r>
      <w:r w:rsidR="00FF5491" w:rsidRPr="00FF5491">
        <w:rPr>
          <w:rFonts w:ascii="Arial" w:hAnsi="Arial" w:cs="Arial"/>
          <w:b w:val="0"/>
          <w:bCs w:val="0"/>
          <w:sz w:val="24"/>
          <w:szCs w:val="24"/>
        </w:rPr>
        <w:t xml:space="preserve"> Statuta </w:t>
      </w:r>
      <w:r w:rsidR="00FF5491">
        <w:rPr>
          <w:rFonts w:ascii="Arial" w:hAnsi="Arial" w:cs="Arial"/>
          <w:b w:val="0"/>
          <w:bCs w:val="0"/>
          <w:sz w:val="24"/>
          <w:szCs w:val="24"/>
        </w:rPr>
        <w:t>Društva sa ograničenom odgovornošću „</w:t>
      </w:r>
      <w:r w:rsidR="00E72649">
        <w:rPr>
          <w:rFonts w:ascii="Arial" w:hAnsi="Arial" w:cs="Arial"/>
          <w:b w:val="0"/>
          <w:bCs w:val="0"/>
          <w:sz w:val="24"/>
          <w:szCs w:val="24"/>
        </w:rPr>
        <w:t>Komunalno</w:t>
      </w:r>
      <w:r w:rsidR="00FF5491">
        <w:rPr>
          <w:rFonts w:ascii="Arial" w:hAnsi="Arial" w:cs="Arial"/>
          <w:b w:val="0"/>
          <w:bCs w:val="0"/>
          <w:sz w:val="24"/>
          <w:szCs w:val="24"/>
        </w:rPr>
        <w:t>“ Tivat</w:t>
      </w:r>
      <w:r w:rsidR="00E829AF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829AF" w:rsidRPr="00FF5491">
        <w:rPr>
          <w:rFonts w:ascii="Arial" w:hAnsi="Arial" w:cs="Arial"/>
          <w:b w:val="0"/>
          <w:bCs w:val="0"/>
          <w:sz w:val="24"/>
          <w:szCs w:val="24"/>
        </w:rPr>
        <w:t>("Sl. list CG - opštinski propisi" br.</w:t>
      </w:r>
      <w:r w:rsidR="00E829AF">
        <w:rPr>
          <w:rFonts w:ascii="Arial" w:hAnsi="Arial" w:cs="Arial"/>
          <w:b w:val="0"/>
          <w:bCs w:val="0"/>
          <w:sz w:val="24"/>
          <w:szCs w:val="24"/>
        </w:rPr>
        <w:t>32/13</w:t>
      </w:r>
      <w:r w:rsidR="00FF5491">
        <w:rPr>
          <w:rFonts w:ascii="Arial" w:hAnsi="Arial" w:cs="Arial"/>
          <w:b w:val="0"/>
          <w:bCs w:val="0"/>
          <w:sz w:val="24"/>
          <w:szCs w:val="24"/>
        </w:rPr>
        <w:t>,</w:t>
      </w:r>
      <w:r w:rsidR="00E829AF">
        <w:rPr>
          <w:rFonts w:ascii="Arial" w:hAnsi="Arial" w:cs="Arial"/>
          <w:b w:val="0"/>
          <w:bCs w:val="0"/>
          <w:sz w:val="24"/>
          <w:szCs w:val="24"/>
        </w:rPr>
        <w:t xml:space="preserve"> 15/15, 55/17 i 45/19)</w:t>
      </w:r>
      <w:r w:rsidR="00FF5491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FF5491">
        <w:rPr>
          <w:rFonts w:ascii="Arial" w:hAnsi="Arial" w:cs="Arial"/>
          <w:b w:val="0"/>
          <w:bCs w:val="0"/>
          <w:sz w:val="24"/>
          <w:szCs w:val="24"/>
        </w:rPr>
        <w:t>Skupština opštine Tivat na sjednici održanoj _________  2021. godine, donijela je</w:t>
      </w:r>
    </w:p>
    <w:p w14:paraId="0A82915B" w14:textId="77777777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</w:p>
    <w:p w14:paraId="4E0EF97E" w14:textId="6464E1F3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ODLUK</w:t>
      </w:r>
      <w:r w:rsidR="006D5D11">
        <w:rPr>
          <w:rFonts w:ascii="Arial" w:hAnsi="Arial" w:cs="Arial"/>
          <w:b w:val="0"/>
          <w:bCs w:val="0"/>
          <w:sz w:val="24"/>
          <w:szCs w:val="24"/>
        </w:rPr>
        <w:t>U</w:t>
      </w:r>
    </w:p>
    <w:p w14:paraId="2F8641C6" w14:textId="25915B9D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o prestanku mandata </w:t>
      </w:r>
      <w:r w:rsidR="002D2781">
        <w:rPr>
          <w:rFonts w:ascii="Arial" w:hAnsi="Arial" w:cs="Arial"/>
          <w:b w:val="0"/>
          <w:bCs w:val="0"/>
          <w:sz w:val="24"/>
          <w:szCs w:val="24"/>
        </w:rPr>
        <w:t>I</w:t>
      </w:r>
      <w:r w:rsidR="00D86684">
        <w:rPr>
          <w:rFonts w:ascii="Arial" w:hAnsi="Arial" w:cs="Arial"/>
          <w:b w:val="0"/>
          <w:bCs w:val="0"/>
          <w:sz w:val="24"/>
          <w:szCs w:val="24"/>
        </w:rPr>
        <w:t xml:space="preserve">zvršnom </w:t>
      </w:r>
      <w:r>
        <w:rPr>
          <w:rFonts w:ascii="Arial" w:hAnsi="Arial" w:cs="Arial"/>
          <w:b w:val="0"/>
          <w:bCs w:val="0"/>
          <w:sz w:val="24"/>
          <w:szCs w:val="24"/>
        </w:rPr>
        <w:t>direktor</w:t>
      </w:r>
      <w:r w:rsidR="00D86684">
        <w:rPr>
          <w:rFonts w:ascii="Arial" w:hAnsi="Arial" w:cs="Arial"/>
          <w:b w:val="0"/>
          <w:bCs w:val="0"/>
          <w:sz w:val="24"/>
          <w:szCs w:val="24"/>
        </w:rPr>
        <w:t>u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Društva sa ograničenom odgovornošću „</w:t>
      </w:r>
      <w:r w:rsidR="00E72649">
        <w:rPr>
          <w:rFonts w:ascii="Arial" w:hAnsi="Arial" w:cs="Arial"/>
          <w:b w:val="0"/>
          <w:bCs w:val="0"/>
          <w:sz w:val="24"/>
          <w:szCs w:val="24"/>
        </w:rPr>
        <w:t>Komunalno</w:t>
      </w:r>
      <w:r>
        <w:rPr>
          <w:rFonts w:ascii="Arial" w:hAnsi="Arial" w:cs="Arial"/>
          <w:b w:val="0"/>
          <w:bCs w:val="0"/>
          <w:sz w:val="24"/>
          <w:szCs w:val="24"/>
        </w:rPr>
        <w:t>“  Tivat</w:t>
      </w:r>
    </w:p>
    <w:p w14:paraId="4C960B17" w14:textId="77777777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</w:p>
    <w:p w14:paraId="33345A1B" w14:textId="77777777" w:rsidR="00D13DE3" w:rsidRDefault="00D13DE3" w:rsidP="00D13DE3">
      <w:pPr>
        <w:pStyle w:val="C30X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Član 1</w:t>
      </w:r>
    </w:p>
    <w:p w14:paraId="7A719519" w14:textId="1938E92F" w:rsidR="00D13DE3" w:rsidRPr="00D86684" w:rsidRDefault="005622CF" w:rsidP="00D86684">
      <w:pPr>
        <w:pStyle w:val="N03Y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Vladu Đukiću</w:t>
      </w:r>
      <w:r w:rsidR="00D86684" w:rsidRPr="00D86684">
        <w:rPr>
          <w:rFonts w:ascii="Arial" w:hAnsi="Arial" w:cs="Arial"/>
          <w:b w:val="0"/>
          <w:bCs w:val="0"/>
          <w:sz w:val="24"/>
          <w:szCs w:val="24"/>
        </w:rPr>
        <w:t xml:space="preserve">, </w:t>
      </w:r>
      <w:r w:rsidR="002D2781">
        <w:rPr>
          <w:rFonts w:ascii="Arial" w:hAnsi="Arial" w:cs="Arial"/>
          <w:b w:val="0"/>
          <w:bCs w:val="0"/>
          <w:sz w:val="24"/>
          <w:szCs w:val="24"/>
        </w:rPr>
        <w:t>I</w:t>
      </w:r>
      <w:r w:rsidR="00D86684" w:rsidRPr="00D86684">
        <w:rPr>
          <w:rFonts w:ascii="Arial" w:hAnsi="Arial" w:cs="Arial"/>
          <w:b w:val="0"/>
          <w:bCs w:val="0"/>
          <w:sz w:val="24"/>
          <w:szCs w:val="24"/>
        </w:rPr>
        <w:t xml:space="preserve">zvršnom direktoru </w:t>
      </w:r>
      <w:r w:rsidR="00D86684">
        <w:rPr>
          <w:rFonts w:ascii="Arial" w:hAnsi="Arial" w:cs="Arial"/>
          <w:b w:val="0"/>
          <w:bCs w:val="0"/>
          <w:sz w:val="24"/>
          <w:szCs w:val="24"/>
        </w:rPr>
        <w:t>Društva sa ograničenom odgovornošću „</w:t>
      </w:r>
      <w:r w:rsidR="0025125D">
        <w:rPr>
          <w:rFonts w:ascii="Arial" w:hAnsi="Arial" w:cs="Arial"/>
          <w:b w:val="0"/>
          <w:bCs w:val="0"/>
          <w:sz w:val="24"/>
          <w:szCs w:val="24"/>
        </w:rPr>
        <w:t>Komunalno</w:t>
      </w:r>
      <w:r w:rsidR="00D86684">
        <w:rPr>
          <w:rFonts w:ascii="Arial" w:hAnsi="Arial" w:cs="Arial"/>
          <w:b w:val="0"/>
          <w:bCs w:val="0"/>
          <w:sz w:val="24"/>
          <w:szCs w:val="24"/>
        </w:rPr>
        <w:t xml:space="preserve">“  Tivat, </w:t>
      </w:r>
      <w:r w:rsidR="003E3CCC">
        <w:rPr>
          <w:rFonts w:ascii="Arial" w:hAnsi="Arial" w:cs="Arial"/>
          <w:b w:val="0"/>
          <w:bCs w:val="0"/>
          <w:sz w:val="24"/>
          <w:szCs w:val="24"/>
        </w:rPr>
        <w:t xml:space="preserve">prestaje mandat </w:t>
      </w:r>
      <w:r w:rsidR="00834567">
        <w:rPr>
          <w:rFonts w:ascii="Arial" w:hAnsi="Arial" w:cs="Arial"/>
          <w:b w:val="0"/>
          <w:bCs w:val="0"/>
          <w:sz w:val="24"/>
          <w:szCs w:val="24"/>
        </w:rPr>
        <w:t>zbog isteka vremena na koje je izabran</w:t>
      </w:r>
      <w:r w:rsidR="00E14881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7271D15F" w14:textId="56A603C7" w:rsidR="00D13DE3" w:rsidRDefault="00D13DE3" w:rsidP="00D13DE3">
      <w:pPr>
        <w:pStyle w:val="C30X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Član 2</w:t>
      </w:r>
    </w:p>
    <w:p w14:paraId="39EBBDD0" w14:textId="50DF52BD" w:rsidR="009326F2" w:rsidRDefault="009326F2" w:rsidP="009326F2">
      <w:pPr>
        <w:pStyle w:val="C30X"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Stupanjem na snagu ove Odluke prestaje da važi Odluka broj 0304-030-</w:t>
      </w:r>
      <w:r w:rsidR="00052DB4">
        <w:rPr>
          <w:rFonts w:ascii="Arial" w:hAnsi="Arial" w:cs="Arial"/>
          <w:b w:val="0"/>
          <w:bCs w:val="0"/>
        </w:rPr>
        <w:t>446</w:t>
      </w:r>
      <w:r>
        <w:rPr>
          <w:rFonts w:ascii="Arial" w:hAnsi="Arial" w:cs="Arial"/>
          <w:b w:val="0"/>
          <w:bCs w:val="0"/>
        </w:rPr>
        <w:t xml:space="preserve"> od dana </w:t>
      </w:r>
      <w:r w:rsidR="00052DB4">
        <w:rPr>
          <w:rFonts w:ascii="Arial" w:hAnsi="Arial" w:cs="Arial"/>
          <w:b w:val="0"/>
          <w:bCs w:val="0"/>
        </w:rPr>
        <w:t>21.12</w:t>
      </w:r>
      <w:r>
        <w:rPr>
          <w:rFonts w:ascii="Arial" w:hAnsi="Arial" w:cs="Arial"/>
          <w:b w:val="0"/>
          <w:bCs w:val="0"/>
        </w:rPr>
        <w:t>.2017.godine</w:t>
      </w:r>
      <w:r w:rsidR="00110871"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b w:val="0"/>
          <w:bCs w:val="0"/>
        </w:rPr>
        <w:t xml:space="preserve">(Službeni list Crne Gore – opštinski propisi“, br. </w:t>
      </w:r>
      <w:r w:rsidR="00052DB4">
        <w:rPr>
          <w:rFonts w:ascii="Arial" w:hAnsi="Arial" w:cs="Arial"/>
          <w:b w:val="0"/>
          <w:bCs w:val="0"/>
        </w:rPr>
        <w:t>55</w:t>
      </w:r>
      <w:r>
        <w:rPr>
          <w:rFonts w:ascii="Arial" w:hAnsi="Arial" w:cs="Arial"/>
          <w:b w:val="0"/>
          <w:bCs w:val="0"/>
        </w:rPr>
        <w:t xml:space="preserve">/17 od </w:t>
      </w:r>
      <w:r w:rsidR="00052DB4">
        <w:rPr>
          <w:rFonts w:ascii="Arial" w:hAnsi="Arial" w:cs="Arial"/>
          <w:b w:val="0"/>
          <w:bCs w:val="0"/>
        </w:rPr>
        <w:t>29.12</w:t>
      </w:r>
      <w:r>
        <w:rPr>
          <w:rFonts w:ascii="Arial" w:hAnsi="Arial" w:cs="Arial"/>
          <w:b w:val="0"/>
          <w:bCs w:val="0"/>
        </w:rPr>
        <w:t>.2017.g).</w:t>
      </w:r>
    </w:p>
    <w:p w14:paraId="511D24D5" w14:textId="2EABB8C2" w:rsidR="004E25C7" w:rsidRDefault="00D95166" w:rsidP="00D95166">
      <w:pPr>
        <w:pStyle w:val="C30X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Član 3</w:t>
      </w:r>
    </w:p>
    <w:p w14:paraId="137A1BEE" w14:textId="54AA60B3" w:rsidR="00D13DE3" w:rsidRDefault="00D13DE3" w:rsidP="00D95166">
      <w:pPr>
        <w:pStyle w:val="T30X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Ova Odluka stupa na snagu </w:t>
      </w:r>
      <w:r w:rsidR="00E14881">
        <w:rPr>
          <w:rFonts w:ascii="Arial" w:hAnsi="Arial" w:cs="Arial"/>
          <w:sz w:val="24"/>
          <w:szCs w:val="24"/>
        </w:rPr>
        <w:t>danom</w:t>
      </w:r>
      <w:r>
        <w:rPr>
          <w:rFonts w:ascii="Arial" w:hAnsi="Arial" w:cs="Arial"/>
          <w:sz w:val="24"/>
          <w:szCs w:val="24"/>
        </w:rPr>
        <w:t xml:space="preserve"> objavljivanja u "Sl. listu CG - opštinski propisi".</w:t>
      </w:r>
    </w:p>
    <w:p w14:paraId="4E8E3B06" w14:textId="77777777" w:rsidR="00D13DE3" w:rsidRDefault="00D13DE3" w:rsidP="00D13DE3">
      <w:pPr>
        <w:pStyle w:val="N01Z"/>
        <w:rPr>
          <w:rFonts w:ascii="Arial" w:hAnsi="Arial" w:cs="Arial"/>
          <w:sz w:val="24"/>
          <w:szCs w:val="24"/>
        </w:rPr>
      </w:pPr>
    </w:p>
    <w:p w14:paraId="417B2C8C" w14:textId="77777777" w:rsidR="00D13DE3" w:rsidRDefault="00D13DE3" w:rsidP="00D13DE3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Broj: </w:t>
      </w:r>
    </w:p>
    <w:p w14:paraId="2D68C8C2" w14:textId="7DA73526" w:rsidR="00D13DE3" w:rsidRDefault="00D13DE3" w:rsidP="00D13DE3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Tivat, __________.</w:t>
      </w:r>
      <w:r w:rsidR="000678B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>2021. godine</w:t>
      </w:r>
    </w:p>
    <w:p w14:paraId="6A99B801" w14:textId="77777777" w:rsidR="00D13DE3" w:rsidRDefault="00D13DE3" w:rsidP="00D13DE3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14:paraId="2634F19B" w14:textId="77777777" w:rsidR="00D13DE3" w:rsidRDefault="00D13DE3" w:rsidP="00D13DE3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Skupština opštine Tivat</w:t>
      </w:r>
    </w:p>
    <w:p w14:paraId="582588B8" w14:textId="77777777" w:rsidR="00D13DE3" w:rsidRDefault="00D13DE3" w:rsidP="00D13DE3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Predsjednik</w:t>
      </w:r>
    </w:p>
    <w:p w14:paraId="32FAEAA3" w14:textId="77777777" w:rsidR="00D13DE3" w:rsidRDefault="00D13DE3" w:rsidP="00D13DE3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dr Andrija Petković</w:t>
      </w:r>
    </w:p>
    <w:p w14:paraId="1624D9B0" w14:textId="77777777" w:rsidR="00D13DE3" w:rsidRDefault="00D13DE3" w:rsidP="00427240">
      <w:pPr>
        <w:pStyle w:val="N01Z"/>
        <w:jc w:val="left"/>
        <w:rPr>
          <w:rFonts w:ascii="Arial" w:hAnsi="Arial" w:cs="Arial"/>
          <w:sz w:val="24"/>
          <w:szCs w:val="24"/>
        </w:rPr>
      </w:pPr>
    </w:p>
    <w:p w14:paraId="1EBFF29B" w14:textId="77777777" w:rsidR="00D13DE3" w:rsidRDefault="00D13DE3" w:rsidP="00D13DE3">
      <w:pPr>
        <w:pStyle w:val="N01Z"/>
        <w:rPr>
          <w:rFonts w:ascii="Arial" w:hAnsi="Arial" w:cs="Arial"/>
          <w:sz w:val="24"/>
          <w:szCs w:val="24"/>
        </w:rPr>
      </w:pPr>
    </w:p>
    <w:p w14:paraId="44CAEA97" w14:textId="77777777" w:rsidR="00D13DE3" w:rsidRDefault="00D13DE3" w:rsidP="00D13DE3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Obrazloženje</w:t>
      </w:r>
    </w:p>
    <w:p w14:paraId="011D5359" w14:textId="53C2D307" w:rsidR="00852020" w:rsidRDefault="006D5D11" w:rsidP="00676BCC">
      <w:pPr>
        <w:pStyle w:val="N03Y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Pravni osnov za donošenje ove </w:t>
      </w:r>
      <w:r w:rsidR="00427240">
        <w:rPr>
          <w:rFonts w:ascii="Arial" w:hAnsi="Arial" w:cs="Arial"/>
          <w:b w:val="0"/>
          <w:bCs w:val="0"/>
          <w:sz w:val="24"/>
          <w:szCs w:val="24"/>
          <w:lang w:val="hr-HR"/>
        </w:rPr>
        <w:t>O</w:t>
      </w:r>
      <w:r>
        <w:rPr>
          <w:rFonts w:ascii="Arial" w:hAnsi="Arial" w:cs="Arial"/>
          <w:b w:val="0"/>
          <w:bCs w:val="0"/>
          <w:sz w:val="24"/>
          <w:szCs w:val="24"/>
          <w:lang w:val="hr-HR"/>
        </w:rPr>
        <w:t>dluke sadržan je u č</w:t>
      </w:r>
      <w:r w:rsidR="00D13DE3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>lan</w:t>
      </w:r>
      <w:r>
        <w:rPr>
          <w:rFonts w:ascii="Arial" w:hAnsi="Arial" w:cs="Arial"/>
          <w:b w:val="0"/>
          <w:bCs w:val="0"/>
          <w:sz w:val="24"/>
          <w:szCs w:val="24"/>
          <w:lang w:val="hr-HR"/>
        </w:rPr>
        <w:t>u</w:t>
      </w:r>
      <w:r w:rsidR="00D13DE3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 35 Statuta Opštine Tivat </w:t>
      </w:r>
      <w:r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kojim </w:t>
      </w:r>
      <w:r w:rsidR="00D13DE3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je propisano da Skupština </w:t>
      </w:r>
      <w:r w:rsidR="00FF5491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>donosi propise i druge opšte akte.</w:t>
      </w:r>
      <w:r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 </w:t>
      </w:r>
      <w:r w:rsidR="005B04D6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Članom 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33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5B04D6" w:rsidRPr="00676BCC">
        <w:rPr>
          <w:rFonts w:ascii="Arial" w:hAnsi="Arial" w:cs="Arial"/>
          <w:b w:val="0"/>
          <w:bCs w:val="0"/>
          <w:sz w:val="24"/>
          <w:szCs w:val="24"/>
        </w:rPr>
        <w:t xml:space="preserve">Statuta </w:t>
      </w:r>
      <w:r w:rsidR="005B04D6">
        <w:rPr>
          <w:rFonts w:ascii="Arial" w:hAnsi="Arial" w:cs="Arial"/>
          <w:b w:val="0"/>
          <w:bCs w:val="0"/>
          <w:sz w:val="24"/>
          <w:szCs w:val="24"/>
        </w:rPr>
        <w:t>Društva sa ograničenom odgovornošću „</w:t>
      </w:r>
      <w:r w:rsidR="003A5C13">
        <w:rPr>
          <w:rFonts w:ascii="Arial" w:hAnsi="Arial" w:cs="Arial"/>
          <w:b w:val="0"/>
          <w:bCs w:val="0"/>
          <w:sz w:val="24"/>
          <w:szCs w:val="24"/>
        </w:rPr>
        <w:t>Komunalno</w:t>
      </w:r>
      <w:r w:rsidR="005B04D6">
        <w:rPr>
          <w:rFonts w:ascii="Arial" w:hAnsi="Arial" w:cs="Arial"/>
          <w:b w:val="0"/>
          <w:bCs w:val="0"/>
          <w:sz w:val="24"/>
          <w:szCs w:val="24"/>
        </w:rPr>
        <w:t>“ Tivat</w:t>
      </w:r>
      <w:r w:rsidR="00676BCC">
        <w:rPr>
          <w:rFonts w:ascii="Arial" w:hAnsi="Arial" w:cs="Arial"/>
          <w:b w:val="0"/>
          <w:bCs w:val="0"/>
          <w:sz w:val="24"/>
          <w:szCs w:val="24"/>
        </w:rPr>
        <w:t xml:space="preserve"> p</w:t>
      </w:r>
      <w:r w:rsidR="005B04D6" w:rsidRPr="00676BCC">
        <w:rPr>
          <w:rFonts w:ascii="Arial" w:hAnsi="Arial" w:cs="Arial"/>
          <w:b w:val="0"/>
          <w:bCs w:val="0"/>
          <w:sz w:val="24"/>
          <w:szCs w:val="24"/>
        </w:rPr>
        <w:t>ropisano je da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mandat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 izvršn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og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 direktor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a traje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 četiri godine.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Kako je </w:t>
      </w:r>
      <w:r w:rsidR="00A22EFA">
        <w:rPr>
          <w:rFonts w:ascii="Arial" w:hAnsi="Arial" w:cs="Arial"/>
          <w:b w:val="0"/>
          <w:bCs w:val="0"/>
          <w:sz w:val="24"/>
          <w:szCs w:val="24"/>
        </w:rPr>
        <w:t>Vlado Đukić</w:t>
      </w:r>
      <w:r w:rsidR="00852020">
        <w:rPr>
          <w:rFonts w:ascii="Arial" w:hAnsi="Arial" w:cs="Arial"/>
          <w:b w:val="0"/>
          <w:bCs w:val="0"/>
          <w:sz w:val="24"/>
          <w:szCs w:val="24"/>
        </w:rPr>
        <w:t xml:space="preserve"> imenovan za izvršnog direktora</w:t>
      </w:r>
      <w:r w:rsidR="00852020" w:rsidRPr="006D5D11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852020">
        <w:rPr>
          <w:rFonts w:ascii="Arial" w:hAnsi="Arial" w:cs="Arial"/>
          <w:b w:val="0"/>
          <w:bCs w:val="0"/>
          <w:sz w:val="24"/>
          <w:szCs w:val="24"/>
        </w:rPr>
        <w:t>Društva sa ograničenom odgovornošću „</w:t>
      </w:r>
      <w:r w:rsidR="00A22EFA">
        <w:rPr>
          <w:rFonts w:ascii="Arial" w:hAnsi="Arial" w:cs="Arial"/>
          <w:b w:val="0"/>
          <w:bCs w:val="0"/>
          <w:sz w:val="24"/>
          <w:szCs w:val="24"/>
        </w:rPr>
        <w:t>Komunalno</w:t>
      </w:r>
      <w:r w:rsidR="00852020">
        <w:rPr>
          <w:rFonts w:ascii="Arial" w:hAnsi="Arial" w:cs="Arial"/>
          <w:b w:val="0"/>
          <w:bCs w:val="0"/>
          <w:sz w:val="24"/>
          <w:szCs w:val="24"/>
        </w:rPr>
        <w:t>“  Tivat</w:t>
      </w:r>
      <w:r w:rsidR="00852020" w:rsidRPr="00852020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852020">
        <w:rPr>
          <w:rFonts w:ascii="Arial" w:hAnsi="Arial" w:cs="Arial"/>
          <w:b w:val="0"/>
          <w:bCs w:val="0"/>
          <w:sz w:val="24"/>
          <w:szCs w:val="24"/>
        </w:rPr>
        <w:t>Odlukom Skupštine broj 0304-030-</w:t>
      </w:r>
      <w:r w:rsidR="00A22EFA">
        <w:rPr>
          <w:rFonts w:ascii="Arial" w:hAnsi="Arial" w:cs="Arial"/>
          <w:b w:val="0"/>
          <w:bCs w:val="0"/>
          <w:sz w:val="24"/>
          <w:szCs w:val="24"/>
        </w:rPr>
        <w:t>446</w:t>
      </w:r>
      <w:r w:rsidR="00852020">
        <w:rPr>
          <w:rFonts w:ascii="Arial" w:hAnsi="Arial" w:cs="Arial"/>
          <w:b w:val="0"/>
          <w:bCs w:val="0"/>
          <w:sz w:val="24"/>
          <w:szCs w:val="24"/>
        </w:rPr>
        <w:t xml:space="preserve"> od dana 2</w:t>
      </w:r>
      <w:r w:rsidR="00A22EFA">
        <w:rPr>
          <w:rFonts w:ascii="Arial" w:hAnsi="Arial" w:cs="Arial"/>
          <w:b w:val="0"/>
          <w:bCs w:val="0"/>
          <w:sz w:val="24"/>
          <w:szCs w:val="24"/>
        </w:rPr>
        <w:t>1.12</w:t>
      </w:r>
      <w:r w:rsidR="00852020">
        <w:rPr>
          <w:rFonts w:ascii="Arial" w:hAnsi="Arial" w:cs="Arial"/>
          <w:b w:val="0"/>
          <w:bCs w:val="0"/>
          <w:sz w:val="24"/>
          <w:szCs w:val="24"/>
        </w:rPr>
        <w:t xml:space="preserve">.2017.godine, </w:t>
      </w:r>
      <w:r w:rsidR="0009549D">
        <w:rPr>
          <w:rFonts w:ascii="Arial" w:hAnsi="Arial" w:cs="Arial"/>
          <w:b w:val="0"/>
          <w:bCs w:val="0"/>
          <w:sz w:val="24"/>
          <w:szCs w:val="24"/>
        </w:rPr>
        <w:t>t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o</w:t>
      </w:r>
      <w:r w:rsidR="0009549D">
        <w:rPr>
          <w:rFonts w:ascii="Arial" w:hAnsi="Arial" w:cs="Arial"/>
          <w:b w:val="0"/>
          <w:bCs w:val="0"/>
          <w:sz w:val="24"/>
          <w:szCs w:val="24"/>
        </w:rPr>
        <w:t xml:space="preserve"> mu je istekao mandat,</w:t>
      </w:r>
      <w:r w:rsidR="00427240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pa se pristupilo izradi</w:t>
      </w:r>
      <w:r w:rsidR="00427240">
        <w:rPr>
          <w:rFonts w:ascii="Arial" w:hAnsi="Arial" w:cs="Arial"/>
          <w:b w:val="0"/>
          <w:bCs w:val="0"/>
          <w:sz w:val="24"/>
          <w:szCs w:val="24"/>
        </w:rPr>
        <w:t xml:space="preserve"> ove Odluke</w:t>
      </w:r>
      <w:r w:rsidR="000678B8">
        <w:rPr>
          <w:rFonts w:ascii="Arial" w:hAnsi="Arial" w:cs="Arial"/>
          <w:b w:val="0"/>
          <w:bCs w:val="0"/>
          <w:sz w:val="24"/>
          <w:szCs w:val="24"/>
        </w:rPr>
        <w:t xml:space="preserve"> i predlaže Skupštini njeno usvajanje</w:t>
      </w:r>
      <w:r w:rsidR="00427240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4431995D" w14:textId="3033CC58" w:rsidR="00427240" w:rsidRDefault="00427240" w:rsidP="00676BCC">
      <w:pPr>
        <w:pStyle w:val="N03Y"/>
        <w:ind w:left="7080" w:firstLine="708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  Obrađivač</w:t>
      </w:r>
    </w:p>
    <w:p w14:paraId="69B3FCEB" w14:textId="429928E5" w:rsidR="009E4937" w:rsidRPr="00110871" w:rsidRDefault="00427240" w:rsidP="00110871">
      <w:pPr>
        <w:ind w:left="6372" w:firstLine="708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hr-HR"/>
        </w:rPr>
        <w:t xml:space="preserve">  </w:t>
      </w:r>
      <w:r w:rsidR="00D13DE3">
        <w:rPr>
          <w:rFonts w:ascii="Arial" w:hAnsi="Arial" w:cs="Arial"/>
          <w:sz w:val="24"/>
          <w:szCs w:val="24"/>
          <w:lang w:val="hr-HR"/>
        </w:rPr>
        <w:t>Služba Skupštine</w:t>
      </w:r>
    </w:p>
    <w:sectPr w:rsidR="009E4937" w:rsidRPr="00110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DE3"/>
    <w:rsid w:val="00052DB4"/>
    <w:rsid w:val="000678B8"/>
    <w:rsid w:val="0009549D"/>
    <w:rsid w:val="00110871"/>
    <w:rsid w:val="00156367"/>
    <w:rsid w:val="001925F9"/>
    <w:rsid w:val="0025125D"/>
    <w:rsid w:val="002D2781"/>
    <w:rsid w:val="003346A8"/>
    <w:rsid w:val="00340819"/>
    <w:rsid w:val="003A5C13"/>
    <w:rsid w:val="003E3CCC"/>
    <w:rsid w:val="00427240"/>
    <w:rsid w:val="004E25C7"/>
    <w:rsid w:val="005622CF"/>
    <w:rsid w:val="005B04D6"/>
    <w:rsid w:val="00676BCC"/>
    <w:rsid w:val="006D5D11"/>
    <w:rsid w:val="00834567"/>
    <w:rsid w:val="00852020"/>
    <w:rsid w:val="009326F2"/>
    <w:rsid w:val="009E4937"/>
    <w:rsid w:val="00A22EFA"/>
    <w:rsid w:val="00AE0BD5"/>
    <w:rsid w:val="00B4338C"/>
    <w:rsid w:val="00D13DE3"/>
    <w:rsid w:val="00D86684"/>
    <w:rsid w:val="00D95166"/>
    <w:rsid w:val="00E14881"/>
    <w:rsid w:val="00E72649"/>
    <w:rsid w:val="00E829AF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EA04"/>
  <w15:chartTrackingRefBased/>
  <w15:docId w15:val="{A88174F0-CD21-46FD-A44C-0EEDC354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D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D13DE3"/>
    <w:pPr>
      <w:autoSpaceDE w:val="0"/>
      <w:autoSpaceDN w:val="0"/>
      <w:adjustRightInd w:val="0"/>
      <w:spacing w:before="200" w:after="20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8"/>
      <w:szCs w:val="28"/>
      <w:lang w:eastAsia="sr-Latn-ME"/>
    </w:rPr>
  </w:style>
  <w:style w:type="paragraph" w:customStyle="1" w:styleId="C30X">
    <w:name w:val="C30X"/>
    <w:basedOn w:val="Normal"/>
    <w:uiPriority w:val="99"/>
    <w:rsid w:val="00D13DE3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sr-Latn-ME"/>
    </w:rPr>
  </w:style>
  <w:style w:type="paragraph" w:customStyle="1" w:styleId="N02Y">
    <w:name w:val="N02Y"/>
    <w:basedOn w:val="Normal"/>
    <w:uiPriority w:val="99"/>
    <w:rsid w:val="00D13DE3"/>
    <w:pPr>
      <w:autoSpaceDE w:val="0"/>
      <w:autoSpaceDN w:val="0"/>
      <w:adjustRightInd w:val="0"/>
      <w:spacing w:before="12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  <w:lang w:eastAsia="sr-Latn-ME"/>
    </w:rPr>
  </w:style>
  <w:style w:type="paragraph" w:customStyle="1" w:styleId="N01Z">
    <w:name w:val="N01Z"/>
    <w:basedOn w:val="Normal"/>
    <w:uiPriority w:val="99"/>
    <w:rsid w:val="00D13DE3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  <w:lang w:eastAsia="sr-Latn-ME"/>
    </w:rPr>
  </w:style>
  <w:style w:type="paragraph" w:customStyle="1" w:styleId="T30X">
    <w:name w:val="T30X"/>
    <w:basedOn w:val="Normal"/>
    <w:uiPriority w:val="99"/>
    <w:rsid w:val="00D13DE3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29</cp:revision>
  <dcterms:created xsi:type="dcterms:W3CDTF">2021-06-16T07:36:00Z</dcterms:created>
  <dcterms:modified xsi:type="dcterms:W3CDTF">2021-12-21T14:24:00Z</dcterms:modified>
</cp:coreProperties>
</file>